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0" w:rsidRDefault="00777859" w:rsidP="000E272A">
      <w:pPr>
        <w:spacing w:after="0" w:line="240" w:lineRule="auto"/>
        <w:jc w:val="both"/>
        <w:rPr>
          <w:rFonts w:eastAsia="Times New Roman" w:cstheme="minorHAnsi"/>
          <w:b/>
          <w:bCs/>
          <w:color w:val="202020"/>
          <w:sz w:val="24"/>
          <w:szCs w:val="24"/>
          <w:shd w:val="clear" w:color="auto" w:fill="FFFFFF"/>
          <w:lang w:eastAsia="nl-NL"/>
        </w:rPr>
      </w:pPr>
      <w:bookmarkStart w:id="0" w:name="_GoBack"/>
      <w:bookmarkEnd w:id="0"/>
      <w:r>
        <w:rPr>
          <w:rFonts w:eastAsia="Times New Roman" w:cstheme="minorHAnsi"/>
          <w:b/>
          <w:bCs/>
          <w:color w:val="202020"/>
          <w:sz w:val="24"/>
          <w:szCs w:val="24"/>
          <w:shd w:val="clear" w:color="auto" w:fill="FFFFFF"/>
          <w:lang w:eastAsia="nl-NL"/>
        </w:rPr>
        <w:t>Artikel</w:t>
      </w:r>
    </w:p>
    <w:p w:rsidR="005E1707" w:rsidRDefault="005E1707" w:rsidP="002D253F">
      <w:pPr>
        <w:pBdr>
          <w:bottom w:val="single" w:sz="6" w:space="1" w:color="auto"/>
        </w:pBdr>
        <w:spacing w:after="0" w:line="240" w:lineRule="auto"/>
        <w:rPr>
          <w:b/>
        </w:rPr>
      </w:pPr>
      <w:r>
        <w:rPr>
          <w:b/>
        </w:rPr>
        <w:t>Kleinschalige dorpsgerichte ziektekostenverzekering</w:t>
      </w:r>
    </w:p>
    <w:p w:rsidR="002D253F" w:rsidRPr="00777859" w:rsidRDefault="005E1707" w:rsidP="002D253F">
      <w:pPr>
        <w:pBdr>
          <w:bottom w:val="single" w:sz="6" w:space="1" w:color="auto"/>
        </w:pBdr>
        <w:spacing w:after="0" w:line="240" w:lineRule="auto"/>
        <w:rPr>
          <w:rStyle w:val="Zwaar"/>
          <w:rFonts w:ascii="Helvetica" w:hAnsi="Helvetica"/>
          <w:color w:val="202020"/>
          <w:sz w:val="18"/>
          <w:szCs w:val="18"/>
        </w:rPr>
      </w:pPr>
      <w:r>
        <w:rPr>
          <w:b/>
        </w:rPr>
        <w:t>Kan het werken?</w:t>
      </w:r>
      <w:r w:rsidR="00566A3E" w:rsidRPr="00777859">
        <w:rPr>
          <w:rStyle w:val="Zwaar"/>
          <w:rFonts w:ascii="Helvetica" w:hAnsi="Helvetica"/>
          <w:color w:val="202020"/>
          <w:sz w:val="18"/>
          <w:szCs w:val="18"/>
        </w:rPr>
        <w:br/>
      </w:r>
    </w:p>
    <w:p w:rsidR="002D253F" w:rsidRDefault="002D253F" w:rsidP="002D253F">
      <w:pPr>
        <w:spacing w:after="0" w:line="240" w:lineRule="auto"/>
        <w:rPr>
          <w:rStyle w:val="Zwaar"/>
          <w:rFonts w:ascii="Helvetica" w:hAnsi="Helvetica"/>
          <w:color w:val="202020"/>
          <w:sz w:val="18"/>
          <w:szCs w:val="18"/>
        </w:rPr>
      </w:pPr>
    </w:p>
    <w:p w:rsidR="005E1707" w:rsidRDefault="005E1707" w:rsidP="005E1707">
      <w:pPr>
        <w:spacing w:after="0"/>
        <w:rPr>
          <w:rFonts w:eastAsia="Times New Roman" w:cstheme="minorHAnsi"/>
          <w:highlight w:val="white"/>
        </w:rPr>
      </w:pPr>
    </w:p>
    <w:p w:rsidR="005E1707" w:rsidRPr="005E1707" w:rsidRDefault="005E1707" w:rsidP="005E1707">
      <w:pPr>
        <w:spacing w:after="0"/>
        <w:rPr>
          <w:rFonts w:eastAsia="Times New Roman" w:cstheme="minorHAnsi"/>
          <w:highlight w:val="white"/>
        </w:rPr>
      </w:pPr>
      <w:r w:rsidRPr="005E1707">
        <w:rPr>
          <w:rFonts w:eastAsia="Times New Roman" w:cstheme="minorHAnsi"/>
          <w:highlight w:val="white"/>
        </w:rPr>
        <w:t>Gezondheidszorg en het betaalbaar maken ervan is een integraal aspect van het bestrijden van armoede. Daar hoort ook de ontwikkeling van een verzekeringssysteem bij. In veel gevallen lukt het overheden van minder ontwikkelde landen niet om ook voor rurale gemeenschappen – een vaak enorm achtergesteld deel van de bevolking - gezondheidszorg financieel toegankelijk te maken. In toenemende mate worden er onderzoeken gedaan naar de haalbaarheid van kleinschalige gemeenschapsgerichte verzekeringen, om juist die gemeenschappen toegang te bieden tot betaalbare gezondheidszorg.</w:t>
      </w:r>
      <w:r w:rsidRPr="005E1707">
        <w:rPr>
          <w:rFonts w:eastAsia="Times New Roman" w:cstheme="minorHAnsi"/>
        </w:rPr>
        <w:t xml:space="preserve"> </w:t>
      </w:r>
      <w:r w:rsidRPr="005E1707">
        <w:rPr>
          <w:rFonts w:eastAsia="Times New Roman" w:cstheme="minorHAnsi"/>
          <w:highlight w:val="white"/>
        </w:rPr>
        <w:t xml:space="preserve">De belangrijkste kenmerken van de gemeenschapsgerichte verzekeringen - volgens dit artikel dat verslag doet van een onderzoek in Senegal </w:t>
      </w:r>
      <w:r w:rsidRPr="005E1707">
        <w:rPr>
          <w:rFonts w:eastAsia="Times New Roman" w:cstheme="minorHAnsi"/>
          <w:highlight w:val="white"/>
          <w:lang w:val="en-GB"/>
        </w:rPr>
        <w:t>(</w:t>
      </w:r>
      <w:hyperlink r:id="rId8" w:history="1">
        <w:r w:rsidRPr="005E1707">
          <w:rPr>
            <w:rStyle w:val="Hyperlink"/>
            <w:rFonts w:eastAsia="Times New Roman" w:cstheme="minorHAnsi"/>
            <w:lang w:val="en-GB"/>
          </w:rPr>
          <w:t>https://www.oecd.org/dev/poverty/24670935.pdf</w:t>
        </w:r>
      </w:hyperlink>
      <w:r w:rsidRPr="005E1707">
        <w:rPr>
          <w:rFonts w:eastAsia="Times New Roman" w:cstheme="minorHAnsi"/>
          <w:highlight w:val="white"/>
          <w:lang w:val="en-GB"/>
        </w:rPr>
        <w:t>)</w:t>
      </w:r>
      <w:r w:rsidRPr="005E1707">
        <w:rPr>
          <w:rFonts w:eastAsia="Times New Roman" w:cstheme="minorHAnsi"/>
          <w:highlight w:val="white"/>
        </w:rPr>
        <w:t xml:space="preserve"> - zijn: </w:t>
      </w:r>
    </w:p>
    <w:p w:rsidR="005E1707" w:rsidRPr="005E1707" w:rsidRDefault="005E1707" w:rsidP="005E1707">
      <w:pPr>
        <w:spacing w:after="0"/>
        <w:rPr>
          <w:rFonts w:eastAsia="Times New Roman" w:cstheme="minorHAnsi"/>
          <w:highlight w:val="white"/>
        </w:rPr>
      </w:pPr>
      <w:r w:rsidRPr="005E1707">
        <w:rPr>
          <w:rFonts w:eastAsia="Times New Roman" w:cstheme="minorHAnsi"/>
          <w:highlight w:val="white"/>
        </w:rPr>
        <w:t xml:space="preserve">1) gericht op de gemeenschap, met vrijwillige en individuele deelname van de bevolking </w:t>
      </w:r>
    </w:p>
    <w:p w:rsidR="005E1707" w:rsidRPr="005E1707" w:rsidRDefault="005E1707" w:rsidP="005E1707">
      <w:pPr>
        <w:spacing w:after="0"/>
        <w:rPr>
          <w:rFonts w:eastAsia="Times New Roman" w:cstheme="minorHAnsi"/>
          <w:highlight w:val="white"/>
        </w:rPr>
      </w:pPr>
      <w:r w:rsidRPr="005E1707">
        <w:rPr>
          <w:rFonts w:eastAsia="Times New Roman" w:cstheme="minorHAnsi"/>
          <w:highlight w:val="white"/>
        </w:rPr>
        <w:t xml:space="preserve">2) gericht op rurale gebieden </w:t>
      </w:r>
    </w:p>
    <w:p w:rsidR="005E1707" w:rsidRPr="005E1707" w:rsidRDefault="005E1707" w:rsidP="005E1707">
      <w:pPr>
        <w:spacing w:after="0"/>
        <w:rPr>
          <w:rFonts w:eastAsia="Times New Roman" w:cstheme="minorHAnsi"/>
        </w:rPr>
      </w:pPr>
      <w:r w:rsidRPr="005E1707">
        <w:rPr>
          <w:rFonts w:eastAsia="Times New Roman" w:cstheme="minorHAnsi"/>
          <w:highlight w:val="white"/>
        </w:rPr>
        <w:t>3) een contract met een ziekenhuis dat tot 50% korting oplevert per behandeling.</w:t>
      </w:r>
    </w:p>
    <w:p w:rsidR="005E1707" w:rsidRPr="005E1707" w:rsidRDefault="005E1707" w:rsidP="005E1707">
      <w:pPr>
        <w:spacing w:after="0"/>
        <w:rPr>
          <w:rFonts w:eastAsia="Times New Roman" w:cstheme="minorHAnsi"/>
          <w:highlight w:val="white"/>
        </w:rPr>
      </w:pPr>
    </w:p>
    <w:p w:rsidR="005E1707" w:rsidRPr="005E1707" w:rsidRDefault="005E1707" w:rsidP="005E1707">
      <w:pPr>
        <w:spacing w:after="0"/>
        <w:rPr>
          <w:rFonts w:cstheme="minorHAnsi"/>
        </w:rPr>
      </w:pPr>
      <w:r w:rsidRPr="005E1707">
        <w:rPr>
          <w:rFonts w:eastAsia="Times New Roman" w:cstheme="minorHAnsi"/>
          <w:highlight w:val="white"/>
        </w:rPr>
        <w:t xml:space="preserve">Het artikel suggereert een positief effect van kleinschalige ziektekostenverzekering op de gezondheid van de verzekerde, maar ook op de toegang tot gezondheidszorg en een stijging van het inkomen van de verzekerde. </w:t>
      </w:r>
    </w:p>
    <w:p w:rsidR="005E1707" w:rsidRPr="005E1707" w:rsidRDefault="005E1707" w:rsidP="005E1707">
      <w:pPr>
        <w:spacing w:after="0"/>
        <w:rPr>
          <w:rFonts w:eastAsia="Times New Roman" w:cstheme="minorHAnsi"/>
          <w:highlight w:val="white"/>
        </w:rPr>
      </w:pPr>
      <w:r w:rsidRPr="005E1707">
        <w:rPr>
          <w:rFonts w:eastAsia="Times New Roman" w:cstheme="minorHAnsi"/>
          <w:highlight w:val="white"/>
        </w:rPr>
        <w:t>Eén van de belangrijkste conclusies is dat arme mensen in de onderzochte regio met een gemeenschapsgerichte verzekering eerder de stap naar het ziekenhuis zetten. Wat wordt benadrukt is het feit dat verzekeringen niet kostenvrij zijn en een minimaal inkomen vereisen om van de voordelen gebruik te kunnen maken. De armste leden in de gemeenschap zullen om deze reden mogelijk niet bereikt kunnen worden met dit systeem tenzij de kosten voor de verzekering zodanig worden verlaagd dat zij wel kunnen participeren, bijvoorbeeld door het aantrekken van externe ondersteuning voor de minst draagkrachtigen en een samenwerking met een lokale (Internationale) partner.</w:t>
      </w:r>
    </w:p>
    <w:p w:rsidR="005E1707" w:rsidRPr="005E1707" w:rsidRDefault="005E1707" w:rsidP="005E1707">
      <w:pPr>
        <w:spacing w:after="0"/>
        <w:rPr>
          <w:rFonts w:eastAsia="Times New Roman" w:cstheme="minorHAnsi"/>
          <w:highlight w:val="white"/>
        </w:rPr>
      </w:pPr>
      <w:r w:rsidRPr="005E1707">
        <w:rPr>
          <w:rFonts w:eastAsia="Times New Roman" w:cstheme="minorHAnsi"/>
          <w:highlight w:val="white"/>
        </w:rPr>
        <w:t>Andere interessante artikelen over dit onderwerp:</w:t>
      </w:r>
    </w:p>
    <w:p w:rsidR="005E1707" w:rsidRPr="005E1707" w:rsidRDefault="005E1707" w:rsidP="005E1707">
      <w:pPr>
        <w:spacing w:after="0"/>
        <w:rPr>
          <w:rFonts w:eastAsia="Times New Roman" w:cstheme="minorHAnsi"/>
        </w:rPr>
      </w:pPr>
      <w:hyperlink r:id="rId9" w:history="1">
        <w:r w:rsidRPr="005E1707">
          <w:rPr>
            <w:rStyle w:val="Hyperlink"/>
            <w:rFonts w:eastAsia="Times New Roman" w:cstheme="minorHAnsi"/>
          </w:rPr>
          <w:t>http://www.who.int/health_financing/documents/cov-dp_03_1_community-based/en/</w:t>
        </w:r>
      </w:hyperlink>
      <w:r w:rsidRPr="005E1707">
        <w:rPr>
          <w:rFonts w:eastAsia="Times New Roman" w:cstheme="minorHAnsi"/>
        </w:rPr>
        <w:t xml:space="preserve"> </w:t>
      </w:r>
    </w:p>
    <w:p w:rsidR="005E1707" w:rsidRDefault="005E1707" w:rsidP="005E1707">
      <w:pPr>
        <w:spacing w:after="0"/>
        <w:rPr>
          <w:rFonts w:ascii="Times New Roman" w:eastAsia="Times New Roman" w:hAnsi="Times New Roman" w:cs="Times New Roman"/>
          <w:sz w:val="24"/>
          <w:highlight w:val="white"/>
        </w:rPr>
      </w:pPr>
      <w:hyperlink r:id="rId10" w:history="1">
        <w:r w:rsidRPr="005E1707">
          <w:rPr>
            <w:rStyle w:val="Hyperlink"/>
            <w:rFonts w:eastAsia="Times New Roman" w:cstheme="minorHAnsi"/>
          </w:rPr>
          <w:t>https://healtheconomicsreview.springeropen.com/articles/10.1186/2191-1991-2-5</w:t>
        </w:r>
      </w:hyperlink>
      <w:r>
        <w:rPr>
          <w:rFonts w:ascii="Times New Roman" w:eastAsia="Times New Roman" w:hAnsi="Times New Roman" w:cs="Times New Roman"/>
          <w:sz w:val="24"/>
        </w:rPr>
        <w:t xml:space="preserve"> </w:t>
      </w:r>
    </w:p>
    <w:p w:rsidR="002D253F" w:rsidRPr="002D253F" w:rsidRDefault="002D253F" w:rsidP="002D253F">
      <w:pPr>
        <w:spacing w:after="0" w:line="240" w:lineRule="auto"/>
        <w:rPr>
          <w:rFonts w:ascii="Times New Roman" w:eastAsia="Times New Roman" w:hAnsi="Times New Roman" w:cs="Times New Roman"/>
          <w:vanish/>
          <w:sz w:val="24"/>
          <w:szCs w:val="24"/>
          <w:lang w:eastAsia="nl-NL"/>
        </w:rPr>
      </w:pPr>
    </w:p>
    <w:p w:rsidR="002D253F" w:rsidRDefault="002D253F" w:rsidP="002D253F">
      <w:pPr>
        <w:rPr>
          <w:vanish/>
        </w:rPr>
      </w:pPr>
    </w:p>
    <w:sectPr w:rsidR="002D253F" w:rsidSect="00B5446B">
      <w:headerReference w:type="default"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96" w:rsidRDefault="00E84A96" w:rsidP="00C5126D">
      <w:pPr>
        <w:spacing w:after="0" w:line="240" w:lineRule="auto"/>
      </w:pPr>
      <w:r>
        <w:separator/>
      </w:r>
    </w:p>
  </w:endnote>
  <w:endnote w:type="continuationSeparator" w:id="0">
    <w:p w:rsidR="00E84A96" w:rsidRDefault="00E84A96" w:rsidP="00C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Pr="00C05AAE" w:rsidRDefault="00C5126D" w:rsidP="00C5126D">
    <w:pPr>
      <w:spacing w:after="0" w:line="240" w:lineRule="auto"/>
      <w:jc w:val="both"/>
      <w:rPr>
        <w:rFonts w:ascii="Verdana" w:hAnsi="Verdana"/>
        <w:i/>
        <w:sz w:val="14"/>
        <w:szCs w:val="16"/>
      </w:rPr>
    </w:pPr>
    <w:r w:rsidRPr="00C05AAE">
      <w:rPr>
        <w:rFonts w:ascii="Verdana" w:hAnsi="Verdana"/>
        <w:i/>
        <w:sz w:val="14"/>
        <w:szCs w:val="16"/>
      </w:rPr>
      <w:t xml:space="preserve">Dit document is onderdeel van het BIS KennisNet. BIS heeft graag dat u dit voorbeeld gebruikt ten behoeve van uw stichting. U bent dus niet gerechtigd dit document door te sturen naar derden(behalve uiteraard uw partnerorganisatie), het voor andere doeleinden te gebruiken of het in het openbaar te vertonen, zonder uitdrukkelijke toestemming van BIS Bureau Internationale Samenwerking. </w:t>
    </w:r>
  </w:p>
  <w:p w:rsidR="00C5126D" w:rsidRPr="00C05AAE" w:rsidRDefault="00C5126D" w:rsidP="00C5126D">
    <w:pPr>
      <w:spacing w:after="0" w:line="240" w:lineRule="auto"/>
      <w:jc w:val="both"/>
      <w:rPr>
        <w:sz w:val="20"/>
        <w:lang w:val="en-US"/>
      </w:rPr>
    </w:pPr>
    <w:r w:rsidRPr="00C05AAE">
      <w:rPr>
        <w:rFonts w:ascii="Verdana" w:hAnsi="Verdana"/>
        <w:i/>
        <w:sz w:val="14"/>
        <w:szCs w:val="16"/>
      </w:rPr>
      <w:t>Dit voorbeelddocument dient ter inspiratie. U dient daarom de inhoud goed te toetsen, aan te passen aan uw eigen situatie en indien nodig aan te vullen of juist te beperken. Indien u gebruik maakt van dit Kennisdocument gaat u ermee akkoord dat BIS niet aansprakelijk kan worden gehouden voor onjuiste of onvolledige inhoud.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96" w:rsidRDefault="00E84A96" w:rsidP="00C5126D">
      <w:pPr>
        <w:spacing w:after="0" w:line="240" w:lineRule="auto"/>
      </w:pPr>
      <w:r>
        <w:separator/>
      </w:r>
    </w:p>
  </w:footnote>
  <w:footnote w:type="continuationSeparator" w:id="0">
    <w:p w:rsidR="00E84A96" w:rsidRDefault="00E84A96" w:rsidP="00C5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2A" w:rsidRDefault="000E272A">
    <w:pPr>
      <w:pStyle w:val="Koptekst"/>
    </w:pPr>
    <w:r>
      <w:rPr>
        <w:noProof/>
        <w:lang w:eastAsia="nl-NL"/>
      </w:rPr>
      <w:drawing>
        <wp:anchor distT="0" distB="0" distL="114300" distR="114300" simplePos="0" relativeHeight="251658240" behindDoc="1" locked="0" layoutInCell="1" allowOverlap="1" wp14:anchorId="609CEDC3" wp14:editId="7F5A4753">
          <wp:simplePos x="0" y="0"/>
          <wp:positionH relativeFrom="column">
            <wp:posOffset>4119245</wp:posOffset>
          </wp:positionH>
          <wp:positionV relativeFrom="paragraph">
            <wp:posOffset>-173355</wp:posOffset>
          </wp:positionV>
          <wp:extent cx="2009775" cy="812165"/>
          <wp:effectExtent l="0" t="0" r="9525" b="6985"/>
          <wp:wrapTight wrapText="bothSides">
            <wp:wrapPolygon edited="0">
              <wp:start x="0" y="0"/>
              <wp:lineTo x="0" y="21279"/>
              <wp:lineTo x="21498" y="21279"/>
              <wp:lineTo x="21498" y="0"/>
              <wp:lineTo x="0" y="0"/>
            </wp:wrapPolygon>
          </wp:wrapTight>
          <wp:docPr id="1" name="Afbeelding 1" descr="C:\Users\Martine\AppData\Local\Microsoft\Windows\INetCache\Content.Word\Logo 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e\AppData\Local\Microsoft\Windows\INetCache\Content.Word\Logo Outl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633"/>
    <w:multiLevelType w:val="hybridMultilevel"/>
    <w:tmpl w:val="768EC318"/>
    <w:lvl w:ilvl="0" w:tplc="953EDD0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AB6940"/>
    <w:multiLevelType w:val="multilevel"/>
    <w:tmpl w:val="03F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42177"/>
    <w:multiLevelType w:val="hybridMultilevel"/>
    <w:tmpl w:val="2C1EE2A0"/>
    <w:lvl w:ilvl="0" w:tplc="A0F43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2E538F"/>
    <w:multiLevelType w:val="multilevel"/>
    <w:tmpl w:val="924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017C"/>
    <w:rsid w:val="00014EC9"/>
    <w:rsid w:val="00087688"/>
    <w:rsid w:val="00096D8C"/>
    <w:rsid w:val="000D5719"/>
    <w:rsid w:val="000E272A"/>
    <w:rsid w:val="00281E46"/>
    <w:rsid w:val="002D253F"/>
    <w:rsid w:val="00333DB7"/>
    <w:rsid w:val="0036007E"/>
    <w:rsid w:val="00566A3E"/>
    <w:rsid w:val="005E1707"/>
    <w:rsid w:val="006C19E8"/>
    <w:rsid w:val="00712966"/>
    <w:rsid w:val="00777859"/>
    <w:rsid w:val="00777DDD"/>
    <w:rsid w:val="00817FDD"/>
    <w:rsid w:val="008218A6"/>
    <w:rsid w:val="008528C0"/>
    <w:rsid w:val="008F6AF5"/>
    <w:rsid w:val="009071B9"/>
    <w:rsid w:val="0091561B"/>
    <w:rsid w:val="009818DA"/>
    <w:rsid w:val="00A812B3"/>
    <w:rsid w:val="00AB1D82"/>
    <w:rsid w:val="00B5446B"/>
    <w:rsid w:val="00BC4BC9"/>
    <w:rsid w:val="00BF5E30"/>
    <w:rsid w:val="00C05AAE"/>
    <w:rsid w:val="00C5126D"/>
    <w:rsid w:val="00C9739E"/>
    <w:rsid w:val="00E07992"/>
    <w:rsid w:val="00E84A96"/>
    <w:rsid w:val="00EF2494"/>
    <w:rsid w:val="00F008DB"/>
    <w:rsid w:val="00F333CF"/>
    <w:rsid w:val="00F4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77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77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1">
      <w:bodyDiv w:val="1"/>
      <w:marLeft w:val="0"/>
      <w:marRight w:val="0"/>
      <w:marTop w:val="0"/>
      <w:marBottom w:val="0"/>
      <w:divBdr>
        <w:top w:val="none" w:sz="0" w:space="0" w:color="auto"/>
        <w:left w:val="none" w:sz="0" w:space="0" w:color="auto"/>
        <w:bottom w:val="none" w:sz="0" w:space="0" w:color="auto"/>
        <w:right w:val="none" w:sz="0" w:space="0" w:color="auto"/>
      </w:divBdr>
    </w:div>
    <w:div w:id="46034545">
      <w:bodyDiv w:val="1"/>
      <w:marLeft w:val="0"/>
      <w:marRight w:val="0"/>
      <w:marTop w:val="0"/>
      <w:marBottom w:val="0"/>
      <w:divBdr>
        <w:top w:val="none" w:sz="0" w:space="0" w:color="auto"/>
        <w:left w:val="none" w:sz="0" w:space="0" w:color="auto"/>
        <w:bottom w:val="none" w:sz="0" w:space="0" w:color="auto"/>
        <w:right w:val="none" w:sz="0" w:space="0" w:color="auto"/>
      </w:divBdr>
    </w:div>
    <w:div w:id="90861132">
      <w:bodyDiv w:val="1"/>
      <w:marLeft w:val="0"/>
      <w:marRight w:val="0"/>
      <w:marTop w:val="0"/>
      <w:marBottom w:val="0"/>
      <w:divBdr>
        <w:top w:val="none" w:sz="0" w:space="0" w:color="auto"/>
        <w:left w:val="none" w:sz="0" w:space="0" w:color="auto"/>
        <w:bottom w:val="none" w:sz="0" w:space="0" w:color="auto"/>
        <w:right w:val="none" w:sz="0" w:space="0" w:color="auto"/>
      </w:divBdr>
    </w:div>
    <w:div w:id="604770361">
      <w:bodyDiv w:val="1"/>
      <w:marLeft w:val="0"/>
      <w:marRight w:val="0"/>
      <w:marTop w:val="0"/>
      <w:marBottom w:val="0"/>
      <w:divBdr>
        <w:top w:val="none" w:sz="0" w:space="0" w:color="auto"/>
        <w:left w:val="none" w:sz="0" w:space="0" w:color="auto"/>
        <w:bottom w:val="none" w:sz="0" w:space="0" w:color="auto"/>
        <w:right w:val="none" w:sz="0" w:space="0" w:color="auto"/>
      </w:divBdr>
    </w:div>
    <w:div w:id="832725430">
      <w:bodyDiv w:val="1"/>
      <w:marLeft w:val="0"/>
      <w:marRight w:val="0"/>
      <w:marTop w:val="0"/>
      <w:marBottom w:val="0"/>
      <w:divBdr>
        <w:top w:val="none" w:sz="0" w:space="0" w:color="auto"/>
        <w:left w:val="none" w:sz="0" w:space="0" w:color="auto"/>
        <w:bottom w:val="none" w:sz="0" w:space="0" w:color="auto"/>
        <w:right w:val="none" w:sz="0" w:space="0" w:color="auto"/>
      </w:divBdr>
    </w:div>
    <w:div w:id="1059329490">
      <w:bodyDiv w:val="1"/>
      <w:marLeft w:val="0"/>
      <w:marRight w:val="0"/>
      <w:marTop w:val="0"/>
      <w:marBottom w:val="0"/>
      <w:divBdr>
        <w:top w:val="none" w:sz="0" w:space="0" w:color="auto"/>
        <w:left w:val="none" w:sz="0" w:space="0" w:color="auto"/>
        <w:bottom w:val="none" w:sz="0" w:space="0" w:color="auto"/>
        <w:right w:val="none" w:sz="0" w:space="0" w:color="auto"/>
      </w:divBdr>
    </w:div>
    <w:div w:id="1326205995">
      <w:bodyDiv w:val="1"/>
      <w:marLeft w:val="0"/>
      <w:marRight w:val="0"/>
      <w:marTop w:val="0"/>
      <w:marBottom w:val="0"/>
      <w:divBdr>
        <w:top w:val="none" w:sz="0" w:space="0" w:color="auto"/>
        <w:left w:val="none" w:sz="0" w:space="0" w:color="auto"/>
        <w:bottom w:val="none" w:sz="0" w:space="0" w:color="auto"/>
        <w:right w:val="none" w:sz="0" w:space="0" w:color="auto"/>
      </w:divBdr>
    </w:div>
    <w:div w:id="1405185364">
      <w:bodyDiv w:val="1"/>
      <w:marLeft w:val="0"/>
      <w:marRight w:val="0"/>
      <w:marTop w:val="0"/>
      <w:marBottom w:val="0"/>
      <w:divBdr>
        <w:top w:val="none" w:sz="0" w:space="0" w:color="auto"/>
        <w:left w:val="none" w:sz="0" w:space="0" w:color="auto"/>
        <w:bottom w:val="none" w:sz="0" w:space="0" w:color="auto"/>
        <w:right w:val="none" w:sz="0" w:space="0" w:color="auto"/>
      </w:divBdr>
    </w:div>
    <w:div w:id="15913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dev/poverty/2467093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altheconomicsreview.springeropen.com/articles/10.1186/2191-1991-2-5" TargetMode="External"/><Relationship Id="rId4" Type="http://schemas.openxmlformats.org/officeDocument/2006/relationships/settings" Target="settings.xml"/><Relationship Id="rId9" Type="http://schemas.openxmlformats.org/officeDocument/2006/relationships/hyperlink" Target="http://www.who.int/health_financing/documents/cov-dp_03_1_community-based/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2016-09-08T08:55:00Z</cp:lastPrinted>
  <dcterms:created xsi:type="dcterms:W3CDTF">2016-12-29T11:31:00Z</dcterms:created>
  <dcterms:modified xsi:type="dcterms:W3CDTF">2016-12-29T11:31:00Z</dcterms:modified>
</cp:coreProperties>
</file>